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F374B" w14:paraId="06CD0ECC" w14:textId="77777777">
        <w:tc>
          <w:tcPr>
            <w:tcW w:w="9242" w:type="dxa"/>
            <w:shd w:val="clear" w:color="auto" w:fill="B6D7A8"/>
          </w:tcPr>
          <w:p w14:paraId="62C05015" w14:textId="190B4D85" w:rsidR="002F374B" w:rsidRPr="008E6330" w:rsidRDefault="004E0580" w:rsidP="008E6330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CMP - CCNet Adaptiv</w:t>
            </w:r>
            <w:r w:rsidR="008E6330">
              <w:rPr>
                <w:b/>
                <w:sz w:val="24"/>
                <w:szCs w:val="24"/>
              </w:rPr>
              <w:t>e Management Case Study Submission</w:t>
            </w:r>
          </w:p>
        </w:tc>
      </w:tr>
      <w:tr w:rsidR="002F374B" w14:paraId="6E7D771E" w14:textId="77777777">
        <w:tc>
          <w:tcPr>
            <w:tcW w:w="9242" w:type="dxa"/>
          </w:tcPr>
          <w:p w14:paraId="406D6AD9" w14:textId="77777777" w:rsidR="008E6330" w:rsidRDefault="004E0580" w:rsidP="008E633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Case Study Title: </w:t>
            </w:r>
            <w:r w:rsidR="008E6330">
              <w:rPr>
                <w:b/>
              </w:rPr>
              <w:t xml:space="preserve"> </w:t>
            </w:r>
          </w:p>
          <w:p w14:paraId="134F9114" w14:textId="40A8DD99" w:rsidR="002F374B" w:rsidRDefault="004E0580" w:rsidP="008E6330">
            <w:pPr>
              <w:spacing w:after="120"/>
            </w:pPr>
            <w:r w:rsidRPr="008E6330">
              <w:rPr>
                <w:color w:val="auto"/>
              </w:rPr>
              <w:t xml:space="preserve">USAID Learning Group </w:t>
            </w:r>
            <w:r w:rsidR="00386290" w:rsidRPr="008E6330">
              <w:rPr>
                <w:color w:val="auto"/>
              </w:rPr>
              <w:t xml:space="preserve">Explores </w:t>
            </w:r>
            <w:r w:rsidRPr="008E6330">
              <w:rPr>
                <w:color w:val="auto"/>
              </w:rPr>
              <w:t>the Effectiveness of Enterprises as Conservation Strategy</w:t>
            </w:r>
          </w:p>
        </w:tc>
      </w:tr>
      <w:tr w:rsidR="002F374B" w14:paraId="7FAAD90C" w14:textId="77777777">
        <w:tc>
          <w:tcPr>
            <w:tcW w:w="9242" w:type="dxa"/>
          </w:tcPr>
          <w:p w14:paraId="294A1D76" w14:textId="77777777" w:rsidR="008E6330" w:rsidRDefault="004E0580">
            <w:r>
              <w:rPr>
                <w:b/>
              </w:rPr>
              <w:t>Authors:</w:t>
            </w:r>
            <w:r>
              <w:t xml:space="preserve"> </w:t>
            </w:r>
            <w:r w:rsidR="008E6330">
              <w:t xml:space="preserve"> </w:t>
            </w:r>
          </w:p>
          <w:p w14:paraId="480E0951" w14:textId="1B58FA68" w:rsidR="002F374B" w:rsidRDefault="004E0580">
            <w:r w:rsidRPr="008E6330">
              <w:rPr>
                <w:color w:val="auto"/>
              </w:rPr>
              <w:t xml:space="preserve">USAID E3/FAB Office and the Measuring Impact </w:t>
            </w:r>
            <w:r w:rsidR="002E634C" w:rsidRPr="008E6330">
              <w:rPr>
                <w:color w:val="auto"/>
              </w:rPr>
              <w:t>Activity, implemented by Environmental Incentives, Foundations of Success, and ICF International.</w:t>
            </w:r>
            <w:r w:rsidR="002E634C" w:rsidRPr="00E75F40" w:rsidDel="002E634C">
              <w:rPr>
                <w:color w:val="0070C0"/>
              </w:rPr>
              <w:t xml:space="preserve"> </w:t>
            </w:r>
          </w:p>
          <w:p w14:paraId="5D8839B9" w14:textId="77777777" w:rsidR="002F374B" w:rsidRDefault="002F374B">
            <w:pPr>
              <w:rPr>
                <w:b/>
              </w:rPr>
            </w:pPr>
          </w:p>
          <w:p w14:paraId="261BDC26" w14:textId="37AB269D" w:rsidR="002E634C" w:rsidRDefault="004E0580" w:rsidP="002E634C">
            <w:pPr>
              <w:rPr>
                <w:color w:val="0070C0"/>
              </w:rPr>
            </w:pPr>
            <w:r>
              <w:rPr>
                <w:b/>
              </w:rPr>
              <w:t>Contact Person:</w:t>
            </w:r>
            <w:r>
              <w:t xml:space="preserve"> </w:t>
            </w:r>
            <w:r w:rsidRPr="008E6330">
              <w:rPr>
                <w:color w:val="002060"/>
              </w:rPr>
              <w:t>Megan Hill</w:t>
            </w:r>
            <w:r w:rsidR="008E6330" w:rsidRPr="008E6330">
              <w:rPr>
                <w:color w:val="002060"/>
              </w:rPr>
              <w:t xml:space="preserve">, </w:t>
            </w:r>
            <w:r w:rsidR="002E634C" w:rsidRPr="008E6330">
              <w:rPr>
                <w:color w:val="002060"/>
              </w:rPr>
              <w:t>Environment Protection Specialist, Office of Forestry and Biodiversity, USAID Bureau for Economic Growth, Education, and the Environment</w:t>
            </w:r>
          </w:p>
          <w:p w14:paraId="52120F26" w14:textId="474AE219" w:rsidR="002F374B" w:rsidRDefault="004E262E" w:rsidP="008E6330">
            <w:hyperlink r:id="rId7" w:history="1">
              <w:r w:rsidR="002E634C" w:rsidRPr="00A11D35">
                <w:rPr>
                  <w:rStyle w:val="Hyperlink"/>
                </w:rPr>
                <w:t>mhill@usaid.gov</w:t>
              </w:r>
            </w:hyperlink>
            <w:r w:rsidR="002E634C">
              <w:t xml:space="preserve"> </w:t>
            </w:r>
          </w:p>
          <w:p w14:paraId="1ED0C668" w14:textId="77777777" w:rsidR="008E6330" w:rsidRPr="008E6330" w:rsidRDefault="008E6330" w:rsidP="008E6330"/>
          <w:p w14:paraId="07398D14" w14:textId="77777777" w:rsidR="008E6330" w:rsidRDefault="004E0580" w:rsidP="008E6330">
            <w:pPr>
              <w:spacing w:after="120"/>
            </w:pPr>
            <w:r>
              <w:rPr>
                <w:b/>
              </w:rPr>
              <w:t>Location:</w:t>
            </w:r>
            <w:r>
              <w:t xml:space="preserve"> </w:t>
            </w:r>
          </w:p>
          <w:p w14:paraId="2837CC71" w14:textId="45E5F2B6" w:rsidR="002F374B" w:rsidRDefault="004E0580" w:rsidP="008E6330">
            <w:pPr>
              <w:spacing w:after="120"/>
            </w:pPr>
            <w:r w:rsidRPr="008E6330">
              <w:rPr>
                <w:color w:val="auto"/>
              </w:rPr>
              <w:t>Global</w:t>
            </w:r>
          </w:p>
        </w:tc>
      </w:tr>
      <w:tr w:rsidR="002F374B" w14:paraId="742BFC89" w14:textId="77777777">
        <w:tc>
          <w:tcPr>
            <w:tcW w:w="9242" w:type="dxa"/>
          </w:tcPr>
          <w:p w14:paraId="45817558" w14:textId="77777777" w:rsidR="008E6330" w:rsidRDefault="004E0580" w:rsidP="008E6330">
            <w:pPr>
              <w:spacing w:after="120"/>
            </w:pPr>
            <w:r>
              <w:rPr>
                <w:b/>
              </w:rPr>
              <w:t>Summary:</w:t>
            </w:r>
            <w:r>
              <w:t xml:space="preserve"> </w:t>
            </w:r>
            <w:r w:rsidR="008E6330">
              <w:t xml:space="preserve"> </w:t>
            </w:r>
          </w:p>
          <w:p w14:paraId="26285405" w14:textId="3002822C" w:rsidR="002F374B" w:rsidRPr="008E6330" w:rsidRDefault="002E634C" w:rsidP="008E6330">
            <w:pPr>
              <w:spacing w:after="120"/>
              <w:rPr>
                <w:color w:val="0070C0"/>
              </w:rPr>
            </w:pPr>
            <w:r w:rsidRPr="008E6330">
              <w:rPr>
                <w:color w:val="002060"/>
              </w:rPr>
              <w:t xml:space="preserve">The </w:t>
            </w:r>
            <w:hyperlink r:id="rId8" w:history="1">
              <w:r w:rsidR="004E0580" w:rsidRPr="008E6330">
                <w:rPr>
                  <w:rStyle w:val="Hyperlink"/>
                </w:rPr>
                <w:t>USAID</w:t>
              </w:r>
              <w:r w:rsidR="005E7F7F" w:rsidRPr="008E6330">
                <w:rPr>
                  <w:rStyle w:val="Hyperlink"/>
                </w:rPr>
                <w:t xml:space="preserve"> Office of</w:t>
              </w:r>
              <w:r w:rsidR="004E0580" w:rsidRPr="008E6330">
                <w:rPr>
                  <w:rStyle w:val="Hyperlink"/>
                </w:rPr>
                <w:t xml:space="preserve"> Forestry and Biodiversity</w:t>
              </w:r>
            </w:hyperlink>
            <w:r w:rsidR="004E0580" w:rsidRPr="008E6330">
              <w:rPr>
                <w:color w:val="002060"/>
              </w:rPr>
              <w:t xml:space="preserve">, assisted by the </w:t>
            </w:r>
            <w:hyperlink r:id="rId9">
              <w:r w:rsidR="004E0580" w:rsidRPr="008E6330">
                <w:rPr>
                  <w:rStyle w:val="Hyperlink"/>
                </w:rPr>
                <w:t>Mea</w:t>
              </w:r>
              <w:r w:rsidR="004E0580" w:rsidRPr="008E6330">
                <w:rPr>
                  <w:rStyle w:val="Hyperlink"/>
                </w:rPr>
                <w:t>s</w:t>
              </w:r>
              <w:r w:rsidR="004E0580" w:rsidRPr="008E6330">
                <w:rPr>
                  <w:rStyle w:val="Hyperlink"/>
                </w:rPr>
                <w:t>uring Impact</w:t>
              </w:r>
            </w:hyperlink>
            <w:r w:rsidR="004E0580" w:rsidRPr="008E6330">
              <w:rPr>
                <w:rStyle w:val="Hyperlink"/>
              </w:rPr>
              <w:t xml:space="preserve"> </w:t>
            </w:r>
            <w:r w:rsidRPr="008E6330">
              <w:rPr>
                <w:color w:val="002060"/>
              </w:rPr>
              <w:t>activity</w:t>
            </w:r>
            <w:r w:rsidR="004E0580" w:rsidRPr="008E6330">
              <w:rPr>
                <w:color w:val="002060"/>
              </w:rPr>
              <w:t xml:space="preserve">, formed a learning group </w:t>
            </w:r>
            <w:r w:rsidR="00E75F40" w:rsidRPr="008E6330">
              <w:rPr>
                <w:color w:val="002060"/>
              </w:rPr>
              <w:t xml:space="preserve">that brings together stakeholders from around the world, </w:t>
            </w:r>
            <w:r w:rsidR="0077119C" w:rsidRPr="008E6330">
              <w:rPr>
                <w:color w:val="002060"/>
              </w:rPr>
              <w:t xml:space="preserve">both inside and outside of </w:t>
            </w:r>
            <w:r w:rsidR="00E75F40" w:rsidRPr="008E6330">
              <w:rPr>
                <w:color w:val="002060"/>
              </w:rPr>
              <w:t xml:space="preserve">USAID, </w:t>
            </w:r>
            <w:r w:rsidR="004E0580" w:rsidRPr="008E6330">
              <w:rPr>
                <w:color w:val="002060"/>
              </w:rPr>
              <w:t xml:space="preserve">to share lessons on the effectiveness of enterprises as a conservation strategy and </w:t>
            </w:r>
            <w:r w:rsidR="005E7F7F" w:rsidRPr="008E6330">
              <w:rPr>
                <w:color w:val="002060"/>
              </w:rPr>
              <w:t xml:space="preserve">to apply </w:t>
            </w:r>
            <w:r w:rsidR="004E0580" w:rsidRPr="008E6330">
              <w:rPr>
                <w:color w:val="002060"/>
              </w:rPr>
              <w:t>these lessons in adaptive management</w:t>
            </w:r>
            <w:r w:rsidR="00E75F40" w:rsidRPr="008E6330">
              <w:rPr>
                <w:color w:val="002060"/>
              </w:rPr>
              <w:t xml:space="preserve"> of conservation project</w:t>
            </w:r>
            <w:r w:rsidR="002B6FD4" w:rsidRPr="008E6330">
              <w:rPr>
                <w:color w:val="002060"/>
              </w:rPr>
              <w:t>s</w:t>
            </w:r>
            <w:r w:rsidR="004E0580" w:rsidRPr="008E6330">
              <w:rPr>
                <w:color w:val="002060"/>
              </w:rPr>
              <w:t>. T</w:t>
            </w:r>
            <w:r w:rsidR="00E75F40" w:rsidRPr="008E6330">
              <w:rPr>
                <w:color w:val="002060"/>
              </w:rPr>
              <w:t>he case study covers the initiatives under t</w:t>
            </w:r>
            <w:r w:rsidR="004E0580" w:rsidRPr="008E6330">
              <w:rPr>
                <w:color w:val="002060"/>
              </w:rPr>
              <w:t xml:space="preserve">he </w:t>
            </w:r>
            <w:hyperlink r:id="rId10" w:history="1">
              <w:r w:rsidR="00E75F40" w:rsidRPr="008E6330">
                <w:rPr>
                  <w:rStyle w:val="Hyperlink"/>
                  <w:color w:val="002060"/>
                </w:rPr>
                <w:t>C</w:t>
              </w:r>
              <w:r w:rsidR="00E75F40" w:rsidRPr="008E6330">
                <w:rPr>
                  <w:rStyle w:val="Hyperlink"/>
                </w:rPr>
                <w:t>onservation Enterprises L</w:t>
              </w:r>
              <w:r w:rsidR="004E0580" w:rsidRPr="008E6330">
                <w:rPr>
                  <w:rStyle w:val="Hyperlink"/>
                </w:rPr>
                <w:t>earnin</w:t>
              </w:r>
              <w:r w:rsidR="004E0580" w:rsidRPr="008E6330">
                <w:rPr>
                  <w:rStyle w:val="Hyperlink"/>
                </w:rPr>
                <w:t>g</w:t>
              </w:r>
              <w:r w:rsidR="004E0580" w:rsidRPr="008E6330">
                <w:rPr>
                  <w:rStyle w:val="Hyperlink"/>
                </w:rPr>
                <w:t xml:space="preserve"> </w:t>
              </w:r>
              <w:r w:rsidR="00E75F40" w:rsidRPr="008E6330">
                <w:rPr>
                  <w:rStyle w:val="Hyperlink"/>
                </w:rPr>
                <w:t>G</w:t>
              </w:r>
              <w:r w:rsidR="004E0580" w:rsidRPr="008E6330">
                <w:rPr>
                  <w:rStyle w:val="Hyperlink"/>
                </w:rPr>
                <w:t>roup</w:t>
              </w:r>
            </w:hyperlink>
            <w:r w:rsidR="004E0580" w:rsidRPr="008E6330">
              <w:rPr>
                <w:color w:val="002060"/>
              </w:rPr>
              <w:t xml:space="preserve"> </w:t>
            </w:r>
            <w:r w:rsidR="00E75F40" w:rsidRPr="008E6330">
              <w:rPr>
                <w:color w:val="002060"/>
              </w:rPr>
              <w:t xml:space="preserve">and examines how </w:t>
            </w:r>
            <w:r w:rsidR="004E0580" w:rsidRPr="008E6330">
              <w:rPr>
                <w:color w:val="002060"/>
              </w:rPr>
              <w:t>us</w:t>
            </w:r>
            <w:r w:rsidR="00E75F40" w:rsidRPr="008E6330">
              <w:rPr>
                <w:color w:val="002060"/>
              </w:rPr>
              <w:t>ing</w:t>
            </w:r>
            <w:r w:rsidR="004E0580" w:rsidRPr="008E6330">
              <w:rPr>
                <w:color w:val="002060"/>
              </w:rPr>
              <w:t xml:space="preserve"> a</w:t>
            </w:r>
            <w:r w:rsidR="00E75F40" w:rsidRPr="008E6330">
              <w:rPr>
                <w:color w:val="002060"/>
              </w:rPr>
              <w:t>n overarching</w:t>
            </w:r>
            <w:r w:rsidR="004E0580" w:rsidRPr="008E6330">
              <w:rPr>
                <w:color w:val="002060"/>
              </w:rPr>
              <w:t xml:space="preserve"> theory of change (depicted as a results chain) and </w:t>
            </w:r>
            <w:r w:rsidR="00E75F40" w:rsidRPr="008E6330">
              <w:rPr>
                <w:color w:val="002060"/>
              </w:rPr>
              <w:t>associated</w:t>
            </w:r>
            <w:r w:rsidR="004E0580" w:rsidRPr="008E6330">
              <w:rPr>
                <w:color w:val="002060"/>
              </w:rPr>
              <w:t xml:space="preserve"> learning questions </w:t>
            </w:r>
            <w:r w:rsidR="0077119C" w:rsidRPr="008E6330">
              <w:rPr>
                <w:color w:val="002060"/>
              </w:rPr>
              <w:t>provides</w:t>
            </w:r>
            <w:r w:rsidR="0089796E" w:rsidRPr="008E6330">
              <w:rPr>
                <w:color w:val="002060"/>
              </w:rPr>
              <w:t xml:space="preserve"> </w:t>
            </w:r>
            <w:r w:rsidR="004E0580" w:rsidRPr="008E6330">
              <w:rPr>
                <w:color w:val="002060"/>
              </w:rPr>
              <w:t>a</w:t>
            </w:r>
            <w:r w:rsidR="00E75F40" w:rsidRPr="008E6330">
              <w:rPr>
                <w:color w:val="002060"/>
              </w:rPr>
              <w:t xml:space="preserve"> useful</w:t>
            </w:r>
            <w:r w:rsidR="004E0580" w:rsidRPr="008E6330">
              <w:rPr>
                <w:color w:val="002060"/>
              </w:rPr>
              <w:t xml:space="preserve"> framework</w:t>
            </w:r>
            <w:r w:rsidR="0077119C" w:rsidRPr="008E6330">
              <w:rPr>
                <w:color w:val="002060"/>
              </w:rPr>
              <w:t xml:space="preserve">: (1) to </w:t>
            </w:r>
            <w:r w:rsidR="004E0580" w:rsidRPr="008E6330">
              <w:rPr>
                <w:color w:val="002060"/>
              </w:rPr>
              <w:t>examine the effectiveness of support for enterprise</w:t>
            </w:r>
            <w:r w:rsidR="00A328FA" w:rsidRPr="008E6330">
              <w:rPr>
                <w:color w:val="002060"/>
              </w:rPr>
              <w:t>s</w:t>
            </w:r>
            <w:r w:rsidR="004E0580" w:rsidRPr="008E6330">
              <w:rPr>
                <w:color w:val="002060"/>
              </w:rPr>
              <w:t xml:space="preserve"> as a conservation strategy</w:t>
            </w:r>
            <w:r w:rsidR="006079EE" w:rsidRPr="008E6330">
              <w:rPr>
                <w:color w:val="002060"/>
              </w:rPr>
              <w:t>,</w:t>
            </w:r>
            <w:r w:rsidR="00453B14" w:rsidRPr="008E6330">
              <w:rPr>
                <w:color w:val="002060"/>
              </w:rPr>
              <w:t xml:space="preserve"> and</w:t>
            </w:r>
            <w:r w:rsidR="004E0580" w:rsidRPr="008E6330">
              <w:rPr>
                <w:color w:val="002060"/>
              </w:rPr>
              <w:t xml:space="preserve"> </w:t>
            </w:r>
            <w:r w:rsidR="006079EE" w:rsidRPr="008E6330">
              <w:rPr>
                <w:color w:val="002060"/>
              </w:rPr>
              <w:t xml:space="preserve">(2) </w:t>
            </w:r>
            <w:r w:rsidR="00E75F40" w:rsidRPr="008E6330">
              <w:rPr>
                <w:color w:val="002060"/>
              </w:rPr>
              <w:t xml:space="preserve">for </w:t>
            </w:r>
            <w:r w:rsidR="003952FE" w:rsidRPr="008E6330">
              <w:rPr>
                <w:color w:val="002060"/>
              </w:rPr>
              <w:t xml:space="preserve">applying </w:t>
            </w:r>
            <w:r w:rsidR="006079EE" w:rsidRPr="008E6330">
              <w:rPr>
                <w:color w:val="002060"/>
              </w:rPr>
              <w:t xml:space="preserve">these lessons to </w:t>
            </w:r>
            <w:r w:rsidR="003952FE" w:rsidRPr="008E6330">
              <w:rPr>
                <w:color w:val="002060"/>
              </w:rPr>
              <w:t>adaptive management</w:t>
            </w:r>
            <w:r w:rsidR="00E75F40" w:rsidRPr="008E6330">
              <w:rPr>
                <w:color w:val="002060"/>
              </w:rPr>
              <w:t>.</w:t>
            </w:r>
          </w:p>
        </w:tc>
      </w:tr>
      <w:tr w:rsidR="002F374B" w14:paraId="1BFD8594" w14:textId="77777777">
        <w:tc>
          <w:tcPr>
            <w:tcW w:w="9242" w:type="dxa"/>
          </w:tcPr>
          <w:p w14:paraId="68933887" w14:textId="77777777" w:rsidR="008E6330" w:rsidRDefault="004E0580" w:rsidP="008E633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Public Overview of Case Study: </w:t>
            </w:r>
          </w:p>
          <w:p w14:paraId="73B4AFE4" w14:textId="219CFDAC" w:rsidR="00952B32" w:rsidRPr="008E6330" w:rsidRDefault="002E6717" w:rsidP="008E6330">
            <w:pPr>
              <w:spacing w:after="120"/>
              <w:rPr>
                <w:color w:val="auto"/>
              </w:rPr>
            </w:pPr>
            <w:r w:rsidRPr="008E6330">
              <w:rPr>
                <w:color w:val="auto"/>
              </w:rPr>
              <w:t xml:space="preserve">With support from Measuring Impact, </w:t>
            </w:r>
            <w:r w:rsidR="00E75F40" w:rsidRPr="008E6330">
              <w:rPr>
                <w:color w:val="auto"/>
              </w:rPr>
              <w:t>USAID</w:t>
            </w:r>
            <w:r w:rsidRPr="008E6330">
              <w:rPr>
                <w:color w:val="auto"/>
              </w:rPr>
              <w:t xml:space="preserve"> has developed a suite of compelling knowledge products to help members of the </w:t>
            </w:r>
            <w:r w:rsidR="00E75F40" w:rsidRPr="008E6330">
              <w:rPr>
                <w:color w:val="auto"/>
              </w:rPr>
              <w:t xml:space="preserve">Conservation Enterprises Learning Group </w:t>
            </w:r>
            <w:r w:rsidRPr="008E6330">
              <w:rPr>
                <w:color w:val="auto"/>
              </w:rPr>
              <w:t xml:space="preserve">design and implement more effective programs. The Learning Group collaborates through a set of facilitated meetings, webinars, and a </w:t>
            </w:r>
            <w:r w:rsidR="00AF0C38" w:rsidRPr="008E6330">
              <w:rPr>
                <w:color w:val="auto"/>
              </w:rPr>
              <w:t>website</w:t>
            </w:r>
            <w:r w:rsidRPr="008E6330">
              <w:rPr>
                <w:color w:val="auto"/>
              </w:rPr>
              <w:t xml:space="preserve"> (</w:t>
            </w:r>
            <w:hyperlink r:id="rId11">
              <w:r w:rsidR="00AF0C38" w:rsidRPr="008E6330">
                <w:rPr>
                  <w:rStyle w:val="Hyperlink"/>
                </w:rPr>
                <w:t>https://rmportal.net/conservation-enterprises</w:t>
              </w:r>
            </w:hyperlink>
            <w:r w:rsidR="008E6330" w:rsidRPr="008E6330">
              <w:rPr>
                <w:color w:val="auto"/>
              </w:rPr>
              <w:t xml:space="preserve">). </w:t>
            </w:r>
            <w:r w:rsidR="00D91C4E" w:rsidRPr="008E6330">
              <w:rPr>
                <w:color w:val="auto"/>
              </w:rPr>
              <w:t xml:space="preserve">The website </w:t>
            </w:r>
            <w:r w:rsidRPr="008E6330">
              <w:rPr>
                <w:color w:val="auto"/>
              </w:rPr>
              <w:t xml:space="preserve">includes </w:t>
            </w:r>
            <w:r w:rsidR="00C84165" w:rsidRPr="008E6330">
              <w:rPr>
                <w:color w:val="auto"/>
              </w:rPr>
              <w:t>a wiki of lesson</w:t>
            </w:r>
            <w:r w:rsidR="00952B32" w:rsidRPr="008E6330">
              <w:rPr>
                <w:color w:val="auto"/>
              </w:rPr>
              <w:t>s</w:t>
            </w:r>
            <w:r w:rsidR="00C84165" w:rsidRPr="008E6330">
              <w:rPr>
                <w:color w:val="auto"/>
              </w:rPr>
              <w:t xml:space="preserve"> related to the theory of change</w:t>
            </w:r>
            <w:r w:rsidR="005F78A2" w:rsidRPr="008E6330">
              <w:rPr>
                <w:color w:val="auto"/>
              </w:rPr>
              <w:t xml:space="preserve"> for supporting conservation enterprises</w:t>
            </w:r>
            <w:r w:rsidR="00952B32" w:rsidRPr="008E6330">
              <w:rPr>
                <w:color w:val="auto"/>
              </w:rPr>
              <w:t xml:space="preserve"> and learning questions</w:t>
            </w:r>
            <w:r w:rsidR="00C84165" w:rsidRPr="008E6330">
              <w:rPr>
                <w:color w:val="auto"/>
              </w:rPr>
              <w:t>, products developed under the learning agenda, and</w:t>
            </w:r>
            <w:r w:rsidR="007525ED" w:rsidRPr="008E6330">
              <w:rPr>
                <w:color w:val="auto"/>
              </w:rPr>
              <w:t xml:space="preserve"> other resource documents related to conservation enterprises</w:t>
            </w:r>
            <w:r w:rsidR="00AF0C38" w:rsidRPr="008E6330">
              <w:rPr>
                <w:color w:val="auto"/>
              </w:rPr>
              <w:t>.</w:t>
            </w:r>
            <w:r w:rsidR="00E75F40" w:rsidRPr="008E6330">
              <w:rPr>
                <w:color w:val="auto"/>
              </w:rPr>
              <w:t xml:space="preserve"> </w:t>
            </w:r>
          </w:p>
          <w:p w14:paraId="21A4E42D" w14:textId="318B0E00" w:rsidR="00E75F40" w:rsidRPr="008E6330" w:rsidRDefault="005E7F7F">
            <w:pPr>
              <w:spacing w:after="120"/>
              <w:rPr>
                <w:color w:val="002060"/>
              </w:rPr>
            </w:pPr>
            <w:r w:rsidRPr="008E6330">
              <w:rPr>
                <w:color w:val="auto"/>
              </w:rPr>
              <w:t xml:space="preserve">Measuring Impact and USAID </w:t>
            </w:r>
            <w:r w:rsidR="00952B32" w:rsidRPr="008E6330">
              <w:rPr>
                <w:color w:val="auto"/>
              </w:rPr>
              <w:t xml:space="preserve">also </w:t>
            </w:r>
            <w:r w:rsidRPr="008E6330">
              <w:rPr>
                <w:color w:val="auto"/>
              </w:rPr>
              <w:t xml:space="preserve">developed a video to share our </w:t>
            </w:r>
            <w:r w:rsidR="005548F2" w:rsidRPr="008E6330">
              <w:rPr>
                <w:color w:val="auto"/>
              </w:rPr>
              <w:t>theory-of-change</w:t>
            </w:r>
            <w:r w:rsidRPr="008E6330">
              <w:rPr>
                <w:color w:val="auto"/>
              </w:rPr>
              <w:t xml:space="preserve"> approach to exploring the effectiveness of conservation enterprises for the </w:t>
            </w:r>
            <w:r w:rsidR="00E75F40" w:rsidRPr="008E6330">
              <w:rPr>
                <w:color w:val="auto"/>
              </w:rPr>
              <w:t>2015 Collaborating, Learning and Adapting Case Competition</w:t>
            </w:r>
            <w:r w:rsidR="00A36DF3" w:rsidRPr="008E6330">
              <w:rPr>
                <w:color w:val="auto"/>
              </w:rPr>
              <w:t>:</w:t>
            </w:r>
          </w:p>
          <w:p w14:paraId="4DD26871" w14:textId="77777777" w:rsidR="00E75F40" w:rsidRDefault="004E262E">
            <w:pPr>
              <w:spacing w:after="120"/>
            </w:pPr>
            <w:hyperlink r:id="rId12">
              <w:r w:rsidR="00E75F40" w:rsidRPr="008E6330">
                <w:rPr>
                  <w:rStyle w:val="Hyperlink"/>
                </w:rPr>
                <w:t>https://usaidlearninglab.org/lab-notes/watch-biodiversity-cross-mission-learning-program</w:t>
              </w:r>
            </w:hyperlink>
          </w:p>
        </w:tc>
      </w:tr>
      <w:tr w:rsidR="002F374B" w14:paraId="6C42A46C" w14:textId="77777777">
        <w:tc>
          <w:tcPr>
            <w:tcW w:w="9242" w:type="dxa"/>
          </w:tcPr>
          <w:p w14:paraId="1CA71E3B" w14:textId="77777777" w:rsidR="008E6330" w:rsidRDefault="004E0580" w:rsidP="008E633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Setting the Scene: </w:t>
            </w:r>
            <w:r w:rsidR="008E6330">
              <w:rPr>
                <w:b/>
              </w:rPr>
              <w:t xml:space="preserve"> </w:t>
            </w:r>
          </w:p>
          <w:p w14:paraId="253BE170" w14:textId="523F7C5F" w:rsidR="002F374B" w:rsidRPr="008E6330" w:rsidRDefault="004E0580" w:rsidP="008E6330">
            <w:pPr>
              <w:spacing w:after="120"/>
              <w:rPr>
                <w:color w:val="auto"/>
              </w:rPr>
            </w:pPr>
            <w:r w:rsidRPr="008E6330">
              <w:rPr>
                <w:color w:val="auto"/>
              </w:rPr>
              <w:t xml:space="preserve">Over the past two decades, </w:t>
            </w:r>
            <w:r w:rsidR="000D7E34" w:rsidRPr="008E6330">
              <w:rPr>
                <w:color w:val="auto"/>
              </w:rPr>
              <w:t xml:space="preserve">USAID has extensively </w:t>
            </w:r>
            <w:r w:rsidRPr="008E6330">
              <w:rPr>
                <w:color w:val="auto"/>
              </w:rPr>
              <w:t>suppor</w:t>
            </w:r>
            <w:r w:rsidR="000D7E34" w:rsidRPr="008E6330">
              <w:rPr>
                <w:color w:val="auto"/>
              </w:rPr>
              <w:t>ted</w:t>
            </w:r>
            <w:r w:rsidRPr="008E6330">
              <w:rPr>
                <w:color w:val="auto"/>
              </w:rPr>
              <w:t xml:space="preserve"> conservation enterprises as a strategy </w:t>
            </w:r>
            <w:r w:rsidR="000D7E34" w:rsidRPr="008E6330">
              <w:rPr>
                <w:color w:val="auto"/>
              </w:rPr>
              <w:t>for</w:t>
            </w:r>
            <w:r w:rsidRPr="008E6330">
              <w:rPr>
                <w:color w:val="auto"/>
              </w:rPr>
              <w:t xml:space="preserve"> biodiversity programming. Yet, little information has been collected in a systematic way to measure outcomes and </w:t>
            </w:r>
            <w:r w:rsidR="0011382F" w:rsidRPr="008E6330">
              <w:rPr>
                <w:color w:val="auto"/>
              </w:rPr>
              <w:t>examine</w:t>
            </w:r>
            <w:r w:rsidRPr="008E6330">
              <w:rPr>
                <w:color w:val="auto"/>
              </w:rPr>
              <w:t xml:space="preserve"> key assumptions regarding the effectiveness of this strategy. This group aims to gain a deeper understanding of the effectiveness of supporting conservation enterprises by exploring a set of shared learning questions focused on the theory of change. The learning questi</w:t>
            </w:r>
            <w:r w:rsidR="008E6330" w:rsidRPr="008E6330">
              <w:rPr>
                <w:color w:val="auto"/>
              </w:rPr>
              <w:t xml:space="preserve">ons focus not only on the outcomes </w:t>
            </w:r>
            <w:r w:rsidRPr="008E6330">
              <w:rPr>
                <w:color w:val="auto"/>
              </w:rPr>
              <w:t>in the theory of change, but on the</w:t>
            </w:r>
            <w:r w:rsidR="008E6330" w:rsidRPr="008E6330">
              <w:rPr>
                <w:color w:val="auto"/>
              </w:rPr>
              <w:t xml:space="preserve"> assumptions (depicted as</w:t>
            </w:r>
            <w:r w:rsidRPr="008E6330">
              <w:rPr>
                <w:color w:val="auto"/>
              </w:rPr>
              <w:t xml:space="preserve"> arrows</w:t>
            </w:r>
            <w:r w:rsidR="008E6330" w:rsidRPr="008E6330">
              <w:rPr>
                <w:color w:val="auto"/>
              </w:rPr>
              <w:t xml:space="preserve"> in the theory of change)</w:t>
            </w:r>
            <w:r w:rsidRPr="008E6330">
              <w:rPr>
                <w:color w:val="auto"/>
              </w:rPr>
              <w:t>. In other words, the group is not only asking “if” the strategy achieves desired results (i.e., objectives and goals), but “how” by examining the r</w:t>
            </w:r>
            <w:r w:rsidR="008E6330" w:rsidRPr="008E6330">
              <w:rPr>
                <w:color w:val="auto"/>
              </w:rPr>
              <w:t>elationships between the outcomes</w:t>
            </w:r>
            <w:r w:rsidRPr="008E6330">
              <w:rPr>
                <w:color w:val="auto"/>
              </w:rPr>
              <w:t xml:space="preserve"> (i.e., the assump</w:t>
            </w:r>
            <w:r w:rsidR="008E6330" w:rsidRPr="008E6330">
              <w:rPr>
                <w:color w:val="auto"/>
              </w:rPr>
              <w:t>tions) in the theory of change.</w:t>
            </w:r>
          </w:p>
          <w:p w14:paraId="28291136" w14:textId="59BED6AD" w:rsidR="002F374B" w:rsidRDefault="004E0580" w:rsidP="008E6330">
            <w:pPr>
              <w:spacing w:line="276" w:lineRule="auto"/>
            </w:pPr>
            <w:r>
              <w:rPr>
                <w:rFonts w:ascii="Arial" w:eastAsia="Arial" w:hAnsi="Arial" w:cs="Arial"/>
                <w:noProof/>
                <w:color w:val="9900FF"/>
                <w:sz w:val="24"/>
                <w:szCs w:val="24"/>
                <w:lang w:val="en-US"/>
              </w:rPr>
              <w:lastRenderedPageBreak/>
              <w:drawing>
                <wp:inline distT="114300" distB="114300" distL="114300" distR="114300" wp14:anchorId="086240A0" wp14:editId="3C55F024">
                  <wp:extent cx="5715000" cy="19812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t="11734" b="8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198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861730" w14:textId="77777777" w:rsidR="002F374B" w:rsidRPr="008E6330" w:rsidRDefault="004E0580">
            <w:pPr>
              <w:rPr>
                <w:color w:val="auto"/>
              </w:rPr>
            </w:pPr>
            <w:r w:rsidRPr="008E6330">
              <w:rPr>
                <w:color w:val="auto"/>
              </w:rPr>
              <w:t xml:space="preserve">The group developed a </w:t>
            </w:r>
            <w:hyperlink r:id="rId14">
              <w:r w:rsidRPr="008E6330">
                <w:rPr>
                  <w:rStyle w:val="Hyperlink"/>
                </w:rPr>
                <w:t>Conservation Enterprise Learning Agenda</w:t>
              </w:r>
            </w:hyperlink>
            <w:r w:rsidRPr="008E6330">
              <w:rPr>
                <w:color w:val="auto"/>
              </w:rPr>
              <w:t xml:space="preserve"> that defines the conservation enterprise strategy, its theory of change, a set of learning questions to explore key assumptions, and activities around the following three approaches: </w:t>
            </w:r>
          </w:p>
          <w:p w14:paraId="15346CB9" w14:textId="77777777" w:rsidR="002F374B" w:rsidRPr="008E6330" w:rsidRDefault="004E0580">
            <w:pPr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8E6330">
              <w:rPr>
                <w:color w:val="auto"/>
              </w:rPr>
              <w:t xml:space="preserve">synthesis: synthesize the evidence from existing documentation regarding the effectiveness of this strategy; </w:t>
            </w:r>
          </w:p>
          <w:p w14:paraId="243046F3" w14:textId="77777777" w:rsidR="0054738F" w:rsidRPr="008E6330" w:rsidRDefault="004E0580" w:rsidP="0054738F">
            <w:pPr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8E6330">
              <w:rPr>
                <w:color w:val="auto"/>
              </w:rPr>
              <w:t xml:space="preserve">retrospective: conduct a review of conservation enterprise approaches that have been in place for 20 years; </w:t>
            </w:r>
          </w:p>
          <w:p w14:paraId="691BD837" w14:textId="6B1E93D8" w:rsidR="002F374B" w:rsidRPr="0054738F" w:rsidRDefault="004E0580" w:rsidP="0054738F">
            <w:pPr>
              <w:numPr>
                <w:ilvl w:val="0"/>
                <w:numId w:val="2"/>
              </w:numPr>
              <w:contextualSpacing/>
              <w:rPr>
                <w:color w:val="0070C0"/>
              </w:rPr>
            </w:pPr>
            <w:r w:rsidRPr="008E6330">
              <w:rPr>
                <w:color w:val="auto"/>
              </w:rPr>
              <w:t>prospective: set up monitoring, evaluation, and learning so that evidence can be generated going forward during implementation of this strategy.</w:t>
            </w:r>
          </w:p>
        </w:tc>
      </w:tr>
      <w:tr w:rsidR="002F374B" w14:paraId="547B81E4" w14:textId="77777777">
        <w:tc>
          <w:tcPr>
            <w:tcW w:w="9242" w:type="dxa"/>
          </w:tcPr>
          <w:p w14:paraId="479E694D" w14:textId="498747B8" w:rsidR="000D7E34" w:rsidRPr="008E6330" w:rsidRDefault="008E6330" w:rsidP="008E6330">
            <w:pPr>
              <w:spacing w:after="120"/>
            </w:pPr>
            <w:r>
              <w:rPr>
                <w:b/>
              </w:rPr>
              <w:lastRenderedPageBreak/>
              <w:t>Results and Lessons Learned:</w:t>
            </w:r>
          </w:p>
          <w:p w14:paraId="79640D8B" w14:textId="35EA1B77" w:rsidR="003E7B35" w:rsidRPr="008E6330" w:rsidRDefault="004E0580">
            <w:pPr>
              <w:rPr>
                <w:color w:val="auto"/>
              </w:rPr>
            </w:pPr>
            <w:r w:rsidRPr="008E6330">
              <w:rPr>
                <w:color w:val="auto"/>
              </w:rPr>
              <w:t xml:space="preserve">To date, the learning group has </w:t>
            </w:r>
            <w:r w:rsidR="002E6717" w:rsidRPr="008E6330">
              <w:rPr>
                <w:color w:val="auto"/>
              </w:rPr>
              <w:t xml:space="preserve">implemented </w:t>
            </w:r>
            <w:r w:rsidRPr="008E6330">
              <w:rPr>
                <w:color w:val="auto"/>
              </w:rPr>
              <w:t xml:space="preserve">the first two approaches (synthesis and retrospective) to gather lessons. The learning group has shared lessons through reports, webinars, and the group's website. USAID staff, and conservation practitioners more broadly, </w:t>
            </w:r>
            <w:r w:rsidR="00133911" w:rsidRPr="008E6330">
              <w:rPr>
                <w:color w:val="auto"/>
              </w:rPr>
              <w:t>are using</w:t>
            </w:r>
            <w:r w:rsidRPr="008E6330">
              <w:rPr>
                <w:color w:val="auto"/>
              </w:rPr>
              <w:t xml:space="preserve"> these lessons to design and implement their conservation enterprise strategies.</w:t>
            </w:r>
            <w:r w:rsidR="00412781">
              <w:rPr>
                <w:color w:val="auto"/>
              </w:rPr>
              <w:t xml:space="preserve"> Four</w:t>
            </w:r>
            <w:r w:rsidR="008E6330" w:rsidRPr="008E6330">
              <w:rPr>
                <w:color w:val="auto"/>
              </w:rPr>
              <w:t xml:space="preserve"> USAID Missions (country units) are using </w:t>
            </w:r>
            <w:r w:rsidR="00412781">
              <w:rPr>
                <w:color w:val="auto"/>
              </w:rPr>
              <w:t xml:space="preserve">theory of change and </w:t>
            </w:r>
            <w:r w:rsidR="008E6330" w:rsidRPr="008E6330">
              <w:rPr>
                <w:color w:val="auto"/>
              </w:rPr>
              <w:t xml:space="preserve">lessons </w:t>
            </w:r>
            <w:r w:rsidR="008E6330">
              <w:rPr>
                <w:color w:val="auto"/>
              </w:rPr>
              <w:t xml:space="preserve">generated through the learning group </w:t>
            </w:r>
            <w:r w:rsidR="008E6330" w:rsidRPr="008E6330">
              <w:rPr>
                <w:color w:val="auto"/>
              </w:rPr>
              <w:t>in the design of evaluations</w:t>
            </w:r>
            <w:r w:rsidR="008E6330">
              <w:rPr>
                <w:color w:val="auto"/>
              </w:rPr>
              <w:t xml:space="preserve"> for activities that inclu</w:t>
            </w:r>
            <w:bookmarkStart w:id="0" w:name="_GoBack"/>
            <w:bookmarkEnd w:id="0"/>
            <w:r w:rsidR="008E6330">
              <w:rPr>
                <w:color w:val="auto"/>
              </w:rPr>
              <w:t>de conservation enterprise approaches.</w:t>
            </w:r>
          </w:p>
          <w:p w14:paraId="25F48B7E" w14:textId="13B91FAF" w:rsidR="003E7B35" w:rsidRPr="008E6330" w:rsidRDefault="003E7B35" w:rsidP="003E7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color w:val="auto"/>
              </w:rPr>
            </w:pPr>
            <w:r w:rsidRPr="008E6330">
              <w:rPr>
                <w:i/>
                <w:color w:val="auto"/>
              </w:rPr>
              <w:t>“</w:t>
            </w:r>
            <w:r w:rsidR="00A91F6E" w:rsidRPr="008E6330">
              <w:rPr>
                <w:i/>
                <w:color w:val="auto"/>
              </w:rPr>
              <w:t xml:space="preserve">The cross </w:t>
            </w:r>
            <w:r w:rsidRPr="008E6330">
              <w:rPr>
                <w:i/>
                <w:color w:val="auto"/>
              </w:rPr>
              <w:t>mission learning agenda is so important. Historically I don’t think we’ve done a great job of learning from other development partners and experiences in other countries, even from other USAID Missions. And we haven’t done a great job of building the evidence base behind which enterprises really work and</w:t>
            </w:r>
            <w:r w:rsidR="00A91F6E" w:rsidRPr="008E6330">
              <w:rPr>
                <w:i/>
                <w:color w:val="auto"/>
              </w:rPr>
              <w:t xml:space="preserve"> under</w:t>
            </w:r>
            <w:r w:rsidRPr="008E6330">
              <w:rPr>
                <w:i/>
                <w:color w:val="auto"/>
              </w:rPr>
              <w:t xml:space="preserve"> what particular circumstances. It’s refreshing to see that starting to change.”</w:t>
            </w:r>
            <w:r w:rsidRPr="008E6330">
              <w:rPr>
                <w:color w:val="auto"/>
              </w:rPr>
              <w:t xml:space="preserve"> – David Chalmers</w:t>
            </w:r>
            <w:r w:rsidR="00443838" w:rsidRPr="008E6330">
              <w:rPr>
                <w:color w:val="auto"/>
              </w:rPr>
              <w:t>,</w:t>
            </w:r>
            <w:r w:rsidRPr="008E6330">
              <w:rPr>
                <w:color w:val="auto"/>
              </w:rPr>
              <w:t xml:space="preserve"> </w:t>
            </w:r>
            <w:r w:rsidR="00443838" w:rsidRPr="008E6330">
              <w:rPr>
                <w:color w:val="auto"/>
              </w:rPr>
              <w:t xml:space="preserve">Environment Team Leader, USAID Malawi </w:t>
            </w:r>
          </w:p>
          <w:p w14:paraId="6AD6FB81" w14:textId="53F1069A" w:rsidR="002F374B" w:rsidRPr="00443838" w:rsidRDefault="003E7B35" w:rsidP="00443838">
            <w:pPr>
              <w:rPr>
                <w:color w:val="404040"/>
                <w:sz w:val="21"/>
                <w:szCs w:val="21"/>
              </w:rPr>
            </w:pPr>
            <w:r w:rsidRPr="008E6330">
              <w:rPr>
                <w:i/>
                <w:color w:val="auto"/>
              </w:rPr>
              <w:t>“The</w:t>
            </w:r>
            <w:r w:rsidR="008E6330" w:rsidRPr="008E6330">
              <w:rPr>
                <w:i/>
                <w:color w:val="auto"/>
              </w:rPr>
              <w:t>re are many interventions that M</w:t>
            </w:r>
            <w:r w:rsidRPr="008E6330">
              <w:rPr>
                <w:i/>
                <w:color w:val="auto"/>
              </w:rPr>
              <w:t>issions are doing around the world that are similar, why not capture those general</w:t>
            </w:r>
            <w:r w:rsidR="008E6330" w:rsidRPr="008E6330">
              <w:rPr>
                <w:i/>
                <w:color w:val="auto"/>
              </w:rPr>
              <w:t xml:space="preserve"> approaches in a very common theory of change</w:t>
            </w:r>
            <w:r w:rsidRPr="008E6330">
              <w:rPr>
                <w:i/>
                <w:color w:val="auto"/>
              </w:rPr>
              <w:t xml:space="preserve"> and then allow Missions to take a look at that and adapt it for their own use and tweak it in away where we can both implement them in our country and then contribute to the lear</w:t>
            </w:r>
            <w:r w:rsidR="008E6330" w:rsidRPr="008E6330">
              <w:rPr>
                <w:i/>
                <w:color w:val="auto"/>
              </w:rPr>
              <w:t>ning that we can do at a cross-M</w:t>
            </w:r>
            <w:r w:rsidRPr="008E6330">
              <w:rPr>
                <w:i/>
                <w:color w:val="auto"/>
              </w:rPr>
              <w:t>ission level</w:t>
            </w:r>
            <w:r w:rsidRPr="008E6330">
              <w:rPr>
                <w:color w:val="auto"/>
              </w:rPr>
              <w:t>” – Heather D’Agnes</w:t>
            </w:r>
            <w:r w:rsidR="00443838" w:rsidRPr="008E6330">
              <w:rPr>
                <w:color w:val="auto"/>
              </w:rPr>
              <w:t>, Former Deputy Director, Environment Office, USAID Indonesia</w:t>
            </w:r>
          </w:p>
        </w:tc>
      </w:tr>
      <w:tr w:rsidR="002F374B" w14:paraId="1CB62B57" w14:textId="77777777">
        <w:tc>
          <w:tcPr>
            <w:tcW w:w="9242" w:type="dxa"/>
          </w:tcPr>
          <w:p w14:paraId="2132F5C0" w14:textId="65D74205" w:rsidR="002F374B" w:rsidRDefault="004E0580">
            <w:pPr>
              <w:spacing w:after="120"/>
            </w:pPr>
            <w:r>
              <w:rPr>
                <w:b/>
              </w:rPr>
              <w:t xml:space="preserve">Application beyond Case: </w:t>
            </w:r>
          </w:p>
          <w:p w14:paraId="0DBE34F9" w14:textId="2D2FBE61" w:rsidR="003F0992" w:rsidRPr="008E6330" w:rsidRDefault="002E6717">
            <w:pPr>
              <w:spacing w:after="120"/>
              <w:rPr>
                <w:color w:val="auto"/>
              </w:rPr>
            </w:pPr>
            <w:r w:rsidRPr="008E6330">
              <w:rPr>
                <w:color w:val="auto"/>
              </w:rPr>
              <w:t>In helping the USAID Conservation Enterprises Learning Group develop and implement a learning agenda, we have learned that</w:t>
            </w:r>
            <w:r w:rsidR="00AB43A2" w:rsidRPr="008E6330">
              <w:rPr>
                <w:color w:val="auto"/>
              </w:rPr>
              <w:t xml:space="preserve">: </w:t>
            </w:r>
          </w:p>
          <w:p w14:paraId="3B0A8C22" w14:textId="00AD937C" w:rsidR="002F374B" w:rsidRPr="008E6330" w:rsidRDefault="002E6717">
            <w:pPr>
              <w:numPr>
                <w:ilvl w:val="0"/>
                <w:numId w:val="3"/>
              </w:numPr>
              <w:spacing w:after="120"/>
              <w:contextualSpacing/>
              <w:rPr>
                <w:color w:val="auto"/>
              </w:rPr>
            </w:pPr>
            <w:r w:rsidRPr="008E6330">
              <w:rPr>
                <w:color w:val="auto"/>
              </w:rPr>
              <w:t xml:space="preserve">the </w:t>
            </w:r>
            <w:r w:rsidR="004E0580" w:rsidRPr="008E6330">
              <w:rPr>
                <w:color w:val="auto"/>
              </w:rPr>
              <w:t xml:space="preserve">“generic” theory of change and learning questions </w:t>
            </w:r>
            <w:r w:rsidR="000D7E34" w:rsidRPr="008E6330">
              <w:rPr>
                <w:color w:val="auto"/>
              </w:rPr>
              <w:t>are</w:t>
            </w:r>
            <w:r w:rsidR="004E0580" w:rsidRPr="008E6330">
              <w:rPr>
                <w:color w:val="auto"/>
              </w:rPr>
              <w:t xml:space="preserve"> a useful framework for the learning group in structuring our agenda</w:t>
            </w:r>
            <w:r w:rsidRPr="008E6330">
              <w:rPr>
                <w:color w:val="auto"/>
              </w:rPr>
              <w:t>;</w:t>
            </w:r>
          </w:p>
          <w:p w14:paraId="344E3248" w14:textId="496B1FEE" w:rsidR="002F374B" w:rsidRPr="008E6330" w:rsidRDefault="002E6717">
            <w:pPr>
              <w:numPr>
                <w:ilvl w:val="0"/>
                <w:numId w:val="3"/>
              </w:numPr>
              <w:spacing w:after="120"/>
              <w:contextualSpacing/>
              <w:rPr>
                <w:color w:val="auto"/>
              </w:rPr>
            </w:pPr>
            <w:r w:rsidRPr="008E6330">
              <w:rPr>
                <w:color w:val="auto"/>
              </w:rPr>
              <w:t>e</w:t>
            </w:r>
            <w:r w:rsidR="004E0580" w:rsidRPr="008E6330">
              <w:rPr>
                <w:color w:val="auto"/>
              </w:rPr>
              <w:t>xamin</w:t>
            </w:r>
            <w:r w:rsidR="00BA4499" w:rsidRPr="008E6330">
              <w:rPr>
                <w:color w:val="auto"/>
              </w:rPr>
              <w:t>ing not onl</w:t>
            </w:r>
            <w:r w:rsidR="00E405FF" w:rsidRPr="008E6330">
              <w:rPr>
                <w:color w:val="auto"/>
              </w:rPr>
              <w:t>y “if”, but also “why</w:t>
            </w:r>
            <w:r w:rsidR="004E0580" w:rsidRPr="008E6330">
              <w:rPr>
                <w:color w:val="auto"/>
              </w:rPr>
              <w:t>” desired results are or are not achieved has led to important insights on key assumptions commonly made in implementing this strategy</w:t>
            </w:r>
            <w:r w:rsidR="00E405FF" w:rsidRPr="008E6330">
              <w:rPr>
                <w:color w:val="auto"/>
              </w:rPr>
              <w:t xml:space="preserve"> and the enabling conditions that support the achievement of out</w:t>
            </w:r>
            <w:r w:rsidRPr="008E6330">
              <w:rPr>
                <w:color w:val="auto"/>
              </w:rPr>
              <w:t>c</w:t>
            </w:r>
            <w:r w:rsidR="00E405FF" w:rsidRPr="008E6330">
              <w:rPr>
                <w:color w:val="auto"/>
              </w:rPr>
              <w:t>omes</w:t>
            </w:r>
            <w:r w:rsidRPr="008E6330">
              <w:rPr>
                <w:color w:val="auto"/>
              </w:rPr>
              <w:t>; and</w:t>
            </w:r>
          </w:p>
          <w:p w14:paraId="5D64C056" w14:textId="2DB4BC49" w:rsidR="002E6717" w:rsidRPr="008E6330" w:rsidRDefault="002E6717" w:rsidP="002E6717">
            <w:pPr>
              <w:numPr>
                <w:ilvl w:val="0"/>
                <w:numId w:val="3"/>
              </w:numPr>
              <w:spacing w:after="120"/>
              <w:contextualSpacing/>
              <w:rPr>
                <w:color w:val="auto"/>
              </w:rPr>
            </w:pPr>
            <w:r w:rsidRPr="008E6330">
              <w:rPr>
                <w:color w:val="auto"/>
              </w:rPr>
              <w:t>t</w:t>
            </w:r>
            <w:r w:rsidR="004E0580" w:rsidRPr="008E6330">
              <w:rPr>
                <w:color w:val="auto"/>
              </w:rPr>
              <w:t>he learning group has synthesized lessons in way that is more readily usable in designing and implementing this strategy</w:t>
            </w:r>
            <w:r w:rsidRPr="008E6330">
              <w:rPr>
                <w:color w:val="auto"/>
              </w:rPr>
              <w:t>.</w:t>
            </w:r>
          </w:p>
          <w:p w14:paraId="3B18E2E3" w14:textId="77777777" w:rsidR="002E6717" w:rsidRPr="008E6330" w:rsidRDefault="002E6717" w:rsidP="006765B5">
            <w:pPr>
              <w:spacing w:after="120"/>
              <w:ind w:left="720"/>
              <w:contextualSpacing/>
              <w:rPr>
                <w:color w:val="auto"/>
              </w:rPr>
            </w:pPr>
          </w:p>
          <w:p w14:paraId="0F787F3E" w14:textId="1C0C7197" w:rsidR="002F374B" w:rsidRPr="002E6717" w:rsidRDefault="002E6717" w:rsidP="006765B5">
            <w:pPr>
              <w:spacing w:after="120"/>
              <w:contextualSpacing/>
              <w:rPr>
                <w:color w:val="0070C0"/>
              </w:rPr>
            </w:pPr>
            <w:r w:rsidRPr="008E6330">
              <w:rPr>
                <w:color w:val="auto"/>
              </w:rPr>
              <w:t>T</w:t>
            </w:r>
            <w:r w:rsidR="004E0580" w:rsidRPr="008E6330">
              <w:rPr>
                <w:color w:val="auto"/>
              </w:rPr>
              <w:t xml:space="preserve">his collaborative framework for learning and sharing lessons about the effectiveness of a strategy using an explicit theory </w:t>
            </w:r>
            <w:r w:rsidR="006765B5" w:rsidRPr="008E6330">
              <w:rPr>
                <w:color w:val="auto"/>
              </w:rPr>
              <w:t>o</w:t>
            </w:r>
            <w:r w:rsidR="004E0580" w:rsidRPr="008E6330">
              <w:rPr>
                <w:color w:val="auto"/>
              </w:rPr>
              <w:t xml:space="preserve">f change is also being used by USAID for a set of strategies for </w:t>
            </w:r>
            <w:hyperlink r:id="rId15">
              <w:r w:rsidR="004E0580" w:rsidRPr="008E6330">
                <w:rPr>
                  <w:rStyle w:val="Hyperlink"/>
                </w:rPr>
                <w:t>combating wildlife trafficking</w:t>
              </w:r>
            </w:hyperlink>
            <w:r w:rsidR="004E0580" w:rsidRPr="008E6330">
              <w:rPr>
                <w:color w:val="auto"/>
              </w:rPr>
              <w:t>, and could potentially be used for any set of strategies (e.g., each in the</w:t>
            </w:r>
            <w:r w:rsidR="008E6330">
              <w:rPr>
                <w:color w:val="auto"/>
              </w:rPr>
              <w:t xml:space="preserve"> </w:t>
            </w:r>
            <w:hyperlink r:id="rId16" w:anchor="gid=1144804238">
              <w:r w:rsidR="004E0580" w:rsidRPr="008E6330">
                <w:rPr>
                  <w:rStyle w:val="Hyperlink"/>
                </w:rPr>
                <w:t>CMP actions classification</w:t>
              </w:r>
            </w:hyperlink>
            <w:r w:rsidR="004E0580" w:rsidRPr="008E6330">
              <w:rPr>
                <w:color w:val="auto"/>
              </w:rPr>
              <w:t xml:space="preserve">).   </w:t>
            </w:r>
          </w:p>
        </w:tc>
      </w:tr>
      <w:tr w:rsidR="002F374B" w14:paraId="729BD68F" w14:textId="77777777">
        <w:tc>
          <w:tcPr>
            <w:tcW w:w="9242" w:type="dxa"/>
          </w:tcPr>
          <w:p w14:paraId="68268AC9" w14:textId="2484467E" w:rsidR="002F374B" w:rsidRPr="008E6330" w:rsidRDefault="004E0580">
            <w:pPr>
              <w:spacing w:after="120"/>
              <w:rPr>
                <w:color w:val="auto"/>
              </w:rPr>
            </w:pPr>
            <w:r>
              <w:rPr>
                <w:b/>
              </w:rPr>
              <w:t xml:space="preserve">Further Information: </w:t>
            </w:r>
            <w:r w:rsidR="008E6330">
              <w:rPr>
                <w:b/>
              </w:rPr>
              <w:t xml:space="preserve"> </w:t>
            </w:r>
            <w:r w:rsidRPr="008E6330">
              <w:rPr>
                <w:color w:val="auto"/>
              </w:rPr>
              <w:t>Learn more about USAID’s Conservation Enterprise Learning Group:</w:t>
            </w:r>
          </w:p>
          <w:p w14:paraId="29A71C95" w14:textId="77777777" w:rsidR="002F374B" w:rsidRPr="008E6330" w:rsidRDefault="004E262E" w:rsidP="0054738F">
            <w:pPr>
              <w:numPr>
                <w:ilvl w:val="0"/>
                <w:numId w:val="3"/>
              </w:numPr>
              <w:spacing w:after="120"/>
              <w:contextualSpacing/>
              <w:rPr>
                <w:rStyle w:val="Hyperlink"/>
              </w:rPr>
            </w:pPr>
            <w:hyperlink r:id="rId17">
              <w:r w:rsidR="004E0580" w:rsidRPr="008E6330">
                <w:rPr>
                  <w:rStyle w:val="Hyperlink"/>
                </w:rPr>
                <w:t xml:space="preserve">Cross-Mission Learning Agenda for Conservation </w:t>
              </w:r>
            </w:hyperlink>
            <w:hyperlink r:id="rId18">
              <w:r w:rsidR="004E0580" w:rsidRPr="008E6330">
                <w:rPr>
                  <w:rStyle w:val="Hyperlink"/>
                </w:rPr>
                <w:t>Enterprises</w:t>
              </w:r>
            </w:hyperlink>
          </w:p>
          <w:p w14:paraId="0B00589F" w14:textId="77777777" w:rsidR="002F374B" w:rsidRPr="008E6330" w:rsidRDefault="004E262E" w:rsidP="0070245A">
            <w:pPr>
              <w:numPr>
                <w:ilvl w:val="0"/>
                <w:numId w:val="3"/>
              </w:numPr>
              <w:spacing w:after="120"/>
              <w:contextualSpacing/>
              <w:rPr>
                <w:rStyle w:val="Hyperlink"/>
              </w:rPr>
            </w:pPr>
            <w:hyperlink r:id="rId19">
              <w:r w:rsidR="004E0580" w:rsidRPr="008E6330">
                <w:rPr>
                  <w:rStyle w:val="Hyperlink"/>
                </w:rPr>
                <w:t>Conservation Enterprises: Using a Theory of Change Approach to Examine Evidence for Biodiversity Conservation</w:t>
              </w:r>
            </w:hyperlink>
          </w:p>
          <w:p w14:paraId="27549318" w14:textId="77777777" w:rsidR="002F374B" w:rsidRDefault="004E262E" w:rsidP="008E6330">
            <w:pPr>
              <w:numPr>
                <w:ilvl w:val="0"/>
                <w:numId w:val="3"/>
              </w:numPr>
              <w:spacing w:after="120"/>
              <w:contextualSpacing/>
            </w:pPr>
            <w:hyperlink r:id="rId20">
              <w:r w:rsidR="004E0580" w:rsidRPr="008E6330">
                <w:rPr>
                  <w:rStyle w:val="Hyperlink"/>
                </w:rPr>
                <w:t>Building a Conservation Enterprise: Keys for Success</w:t>
              </w:r>
            </w:hyperlink>
          </w:p>
        </w:tc>
      </w:tr>
      <w:tr w:rsidR="002F374B" w14:paraId="56266B06" w14:textId="77777777">
        <w:tc>
          <w:tcPr>
            <w:tcW w:w="9242" w:type="dxa"/>
          </w:tcPr>
          <w:p w14:paraId="438165AD" w14:textId="263D7319" w:rsidR="002F374B" w:rsidRDefault="008E6330" w:rsidP="008E6330">
            <w:pPr>
              <w:spacing w:after="120"/>
            </w:pPr>
            <w:r>
              <w:rPr>
                <w:b/>
              </w:rPr>
              <w:t xml:space="preserve">Key Words: </w:t>
            </w:r>
            <w:r w:rsidR="004E0580">
              <w:t>(see below)</w:t>
            </w:r>
          </w:p>
        </w:tc>
      </w:tr>
    </w:tbl>
    <w:p w14:paraId="1AE4A278" w14:textId="77777777" w:rsidR="002F374B" w:rsidRDefault="002F374B">
      <w:pPr>
        <w:spacing w:after="60"/>
        <w:rPr>
          <w:b/>
        </w:rPr>
      </w:pPr>
    </w:p>
    <w:p w14:paraId="50398E8A" w14:textId="77777777" w:rsidR="002F374B" w:rsidRDefault="004E0580" w:rsidP="00E75F40">
      <w:pPr>
        <w:spacing w:after="60"/>
        <w:outlineLvl w:val="0"/>
        <w:rPr>
          <w:b/>
        </w:rPr>
      </w:pPr>
      <w:r>
        <w:rPr>
          <w:b/>
        </w:rPr>
        <w:t>Table of Key Words for Tagging Case Studies</w:t>
      </w:r>
    </w:p>
    <w:tbl>
      <w:tblPr>
        <w:tblStyle w:val="a0"/>
        <w:tblW w:w="57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1140"/>
      </w:tblGrid>
      <w:tr w:rsidR="002F374B" w14:paraId="44AE26D7" w14:textId="77777777">
        <w:trPr>
          <w:trHeight w:val="620"/>
        </w:trPr>
        <w:tc>
          <w:tcPr>
            <w:tcW w:w="46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A806" w14:textId="77777777" w:rsidR="002F374B" w:rsidRDefault="002F374B">
            <w:pPr>
              <w:widowControl w:val="0"/>
              <w:spacing w:after="0" w:line="240" w:lineRule="auto"/>
              <w:rPr>
                <w:b/>
              </w:rPr>
            </w:pPr>
          </w:p>
          <w:p w14:paraId="1CFBD7C2" w14:textId="77777777" w:rsidR="002F374B" w:rsidRDefault="004E0580">
            <w:pPr>
              <w:widowControl w:val="0"/>
              <w:spacing w:after="0" w:line="240" w:lineRule="auto"/>
              <w:rPr>
                <w:b/>
                <w:i/>
              </w:rPr>
            </w:pPr>
            <w:r>
              <w:rPr>
                <w:b/>
              </w:rPr>
              <w:t xml:space="preserve">Key Words </w:t>
            </w:r>
            <w:r>
              <w:rPr>
                <w:b/>
                <w:i/>
              </w:rPr>
              <w:t>(select all that are relevant)</w:t>
            </w:r>
          </w:p>
        </w:tc>
        <w:tc>
          <w:tcPr>
            <w:tcW w:w="11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DE55" w14:textId="77777777" w:rsidR="002F374B" w:rsidRDefault="004E058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Put x if Relevant</w:t>
            </w:r>
          </w:p>
        </w:tc>
      </w:tr>
      <w:tr w:rsidR="002F374B" w14:paraId="35A0AFFD" w14:textId="77777777">
        <w:tc>
          <w:tcPr>
            <w:tcW w:w="462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D647" w14:textId="77777777" w:rsidR="002F374B" w:rsidRDefault="004E0580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 Stages in Adaptive Management Cycle</w:t>
            </w:r>
            <w:r>
              <w:t xml:space="preserve"> </w:t>
            </w:r>
          </w:p>
        </w:tc>
        <w:tc>
          <w:tcPr>
            <w:tcW w:w="11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4946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3D8BC17C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412B" w14:textId="77777777" w:rsidR="002F374B" w:rsidRDefault="004E0580">
            <w:pPr>
              <w:spacing w:after="0" w:line="240" w:lineRule="auto"/>
            </w:pPr>
            <w:r>
              <w:t xml:space="preserve"> - Conceptualize the situation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11AC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58A0962F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8F42" w14:textId="77777777" w:rsidR="002F374B" w:rsidRDefault="004E0580">
            <w:pPr>
              <w:spacing w:after="0" w:line="240" w:lineRule="auto"/>
              <w:rPr>
                <w:b/>
              </w:rPr>
            </w:pPr>
            <w:r>
              <w:t xml:space="preserve"> - Plan actions and monitoring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6AF52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1E9DECF3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6829" w14:textId="77777777" w:rsidR="002F374B" w:rsidRDefault="004E0580">
            <w:pPr>
              <w:spacing w:after="0" w:line="240" w:lineRule="auto"/>
              <w:rPr>
                <w:b/>
              </w:rPr>
            </w:pPr>
            <w:r>
              <w:t xml:space="preserve"> - Implement actions and monitoring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EB3A0" w14:textId="330F092C" w:rsidR="002F374B" w:rsidRDefault="00013B5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374B" w14:paraId="55BA14FA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E871" w14:textId="77777777" w:rsidR="002F374B" w:rsidRDefault="004E0580">
            <w:pPr>
              <w:spacing w:after="0" w:line="240" w:lineRule="auto"/>
              <w:rPr>
                <w:b/>
              </w:rPr>
            </w:pPr>
            <w:r>
              <w:t xml:space="preserve"> - Analyze, use, adapt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F96F" w14:textId="62DF9C39" w:rsidR="002F374B" w:rsidRDefault="00013B5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374B" w14:paraId="1B99EC3C" w14:textId="77777777">
        <w:trPr>
          <w:trHeight w:val="280"/>
        </w:trPr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AC2F" w14:textId="77777777" w:rsidR="002F374B" w:rsidRDefault="004E0580">
            <w:pPr>
              <w:spacing w:after="0" w:line="240" w:lineRule="auto"/>
              <w:rPr>
                <w:b/>
              </w:rPr>
            </w:pPr>
            <w:r>
              <w:t xml:space="preserve"> - Capture and share learning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8076" w14:textId="77777777" w:rsidR="002F374B" w:rsidRDefault="004E058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374B" w14:paraId="7AE4C228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8A91" w14:textId="77777777" w:rsidR="002F374B" w:rsidRDefault="004E0580">
            <w:pPr>
              <w:spacing w:after="0" w:line="240" w:lineRule="auto"/>
              <w:rPr>
                <w:b/>
              </w:rPr>
            </w:pPr>
            <w:r>
              <w:t xml:space="preserve"> - Full cycle adaptive management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D58A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1779076F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6D1F" w14:textId="77777777" w:rsidR="002F374B" w:rsidRDefault="004E0580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t>- Other__________________________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0A03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12D8488E" w14:textId="77777777">
        <w:tc>
          <w:tcPr>
            <w:tcW w:w="462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E7D9" w14:textId="77777777" w:rsidR="002F374B" w:rsidRDefault="004E0580">
            <w:pPr>
              <w:widowControl w:val="0"/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 Case Study Scale</w:t>
            </w:r>
          </w:p>
        </w:tc>
        <w:tc>
          <w:tcPr>
            <w:tcW w:w="11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1DFD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39EB2FFF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3AAB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Project-level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65BF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34847E59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1ACA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Program-level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5FFF" w14:textId="77777777" w:rsidR="002F374B" w:rsidRDefault="004E058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374B" w14:paraId="137913CE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E576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Organizational-level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C47E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461EE39A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8D3F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Other: Strategy-level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6155" w14:textId="77777777" w:rsidR="002F374B" w:rsidRDefault="004E058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374B" w14:paraId="2609892F" w14:textId="77777777">
        <w:tc>
          <w:tcPr>
            <w:tcW w:w="462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701A" w14:textId="77777777" w:rsidR="002F374B" w:rsidRDefault="004E0580">
            <w:pPr>
              <w:widowControl w:val="0"/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 Specific Tools/Approach Used</w:t>
            </w:r>
          </w:p>
        </w:tc>
        <w:tc>
          <w:tcPr>
            <w:tcW w:w="11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F512B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1CA255F6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8A24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Evaluation / audit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07E83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3414B433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8746" w14:textId="77777777" w:rsidR="002F374B" w:rsidRDefault="004E0580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t>- Evidence-based conservation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5828" w14:textId="77777777" w:rsidR="002F374B" w:rsidRDefault="004E058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374B" w14:paraId="7796B936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CED0" w14:textId="77777777" w:rsidR="002F374B" w:rsidRDefault="004E0580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t>- Spatial conservation planning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C392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5A0C3764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5283" w14:textId="77777777" w:rsidR="002F374B" w:rsidRDefault="004E0580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 - Structured decision making</w:t>
            </w:r>
            <w:r>
              <w:rPr>
                <w:b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5C35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396E4FE1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E4E0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Status measures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2E47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0F92EA36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4EC4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Effectiveness measures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A1D9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7E42AD4B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CE12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Passive adaptive management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41B5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79BEB9E0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0FB4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Active adaptive management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A5729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2BDA6322" w14:textId="77777777">
        <w:tc>
          <w:tcPr>
            <w:tcW w:w="4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BB7D" w14:textId="77777777" w:rsidR="002F374B" w:rsidRDefault="004E0580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 - Other _________________________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80A7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636BA53C" w14:textId="77777777">
        <w:tc>
          <w:tcPr>
            <w:tcW w:w="4620" w:type="dxa"/>
            <w:tcBorders>
              <w:bottom w:val="single" w:sz="8" w:space="0" w:color="424242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C85F" w14:textId="77777777" w:rsidR="002F374B" w:rsidRDefault="004E0580">
            <w:pPr>
              <w:widowControl w:val="0"/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 Specific Topics Addressed:</w:t>
            </w:r>
          </w:p>
        </w:tc>
        <w:tc>
          <w:tcPr>
            <w:tcW w:w="11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C71F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71F05A58" w14:textId="77777777">
        <w:tc>
          <w:tcPr>
            <w:tcW w:w="4620" w:type="dxa"/>
            <w:tcBorders>
              <w:top w:val="single" w:sz="8" w:space="0" w:color="424242"/>
              <w:left w:val="single" w:sz="8" w:space="0" w:color="424242"/>
              <w:bottom w:val="single" w:sz="8" w:space="0" w:color="424242"/>
              <w:right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D8BF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Human wellbeing</w:t>
            </w:r>
          </w:p>
        </w:tc>
        <w:tc>
          <w:tcPr>
            <w:tcW w:w="1140" w:type="dxa"/>
            <w:tcBorders>
              <w:left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EB15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213278AA" w14:textId="77777777">
        <w:tc>
          <w:tcPr>
            <w:tcW w:w="4620" w:type="dxa"/>
            <w:tcBorders>
              <w:top w:val="single" w:sz="8" w:space="0" w:color="424242"/>
              <w:left w:val="single" w:sz="8" w:space="0" w:color="424242"/>
              <w:bottom w:val="single" w:sz="8" w:space="0" w:color="424242"/>
              <w:right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DA61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Climate change</w:t>
            </w:r>
          </w:p>
        </w:tc>
        <w:tc>
          <w:tcPr>
            <w:tcW w:w="1140" w:type="dxa"/>
            <w:tcBorders>
              <w:left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912E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629150D6" w14:textId="77777777">
        <w:tc>
          <w:tcPr>
            <w:tcW w:w="4620" w:type="dxa"/>
            <w:tcBorders>
              <w:top w:val="single" w:sz="8" w:space="0" w:color="424242"/>
              <w:left w:val="single" w:sz="8" w:space="0" w:color="424242"/>
              <w:bottom w:val="single" w:sz="8" w:space="0" w:color="424242"/>
              <w:right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BDB44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Community-based conservation</w:t>
            </w:r>
          </w:p>
        </w:tc>
        <w:tc>
          <w:tcPr>
            <w:tcW w:w="1140" w:type="dxa"/>
            <w:tcBorders>
              <w:left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7A73" w14:textId="77777777" w:rsidR="002F374B" w:rsidRDefault="004E058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374B" w14:paraId="424A4069" w14:textId="77777777">
        <w:tc>
          <w:tcPr>
            <w:tcW w:w="4620" w:type="dxa"/>
            <w:tcBorders>
              <w:top w:val="single" w:sz="8" w:space="0" w:color="424242"/>
              <w:left w:val="single" w:sz="8" w:space="0" w:color="424242"/>
              <w:bottom w:val="single" w:sz="8" w:space="0" w:color="424242"/>
              <w:right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1162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Marine conservation</w:t>
            </w:r>
          </w:p>
        </w:tc>
        <w:tc>
          <w:tcPr>
            <w:tcW w:w="1140" w:type="dxa"/>
            <w:tcBorders>
              <w:left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DAA3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0161AF96" w14:textId="77777777">
        <w:tc>
          <w:tcPr>
            <w:tcW w:w="4620" w:type="dxa"/>
            <w:tcBorders>
              <w:top w:val="single" w:sz="8" w:space="0" w:color="424242"/>
              <w:left w:val="single" w:sz="8" w:space="0" w:color="424242"/>
              <w:bottom w:val="single" w:sz="8" w:space="0" w:color="424242"/>
              <w:right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C187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Freshwater conservation</w:t>
            </w:r>
          </w:p>
        </w:tc>
        <w:tc>
          <w:tcPr>
            <w:tcW w:w="1140" w:type="dxa"/>
            <w:tcBorders>
              <w:left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3986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3A72D158" w14:textId="77777777">
        <w:tc>
          <w:tcPr>
            <w:tcW w:w="4620" w:type="dxa"/>
            <w:tcBorders>
              <w:top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C22B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- Terrestrial conservation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B9B2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2F374B" w14:paraId="5B099F10" w14:textId="77777777">
        <w:tc>
          <w:tcPr>
            <w:tcW w:w="4620" w:type="dxa"/>
            <w:tcBorders>
              <w:top w:val="single" w:sz="8" w:space="0" w:color="42424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FFF3" w14:textId="77777777" w:rsidR="002F374B" w:rsidRDefault="004E0580">
            <w:pPr>
              <w:widowControl w:val="0"/>
              <w:spacing w:after="0" w:line="240" w:lineRule="auto"/>
            </w:pPr>
            <w:r>
              <w:t xml:space="preserve">  - Other ________________________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E517" w14:textId="77777777" w:rsidR="002F374B" w:rsidRDefault="002F374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B27FE62" w14:textId="77777777" w:rsidR="002F374B" w:rsidRDefault="002F374B">
      <w:pPr>
        <w:spacing w:after="0" w:line="240" w:lineRule="auto"/>
        <w:rPr>
          <w:b/>
        </w:rPr>
      </w:pPr>
    </w:p>
    <w:sectPr w:rsidR="002F374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224" w:right="1195" w:bottom="1152" w:left="1440" w:header="0" w:footer="720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57ECE" w16cid:durableId="1E4BF391"/>
  <w16cid:commentId w16cid:paraId="69DCBF56" w16cid:durableId="1E4BF3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AAB75" w14:textId="77777777" w:rsidR="004E262E" w:rsidRDefault="004E262E">
      <w:pPr>
        <w:spacing w:after="0" w:line="240" w:lineRule="auto"/>
      </w:pPr>
      <w:r>
        <w:separator/>
      </w:r>
    </w:p>
  </w:endnote>
  <w:endnote w:type="continuationSeparator" w:id="0">
    <w:p w14:paraId="6DC35AE7" w14:textId="77777777" w:rsidR="004E262E" w:rsidRDefault="004E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95B6A" w14:textId="77777777" w:rsidR="00DD1D17" w:rsidRDefault="00DD1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4697A" w14:textId="77777777" w:rsidR="00DD1D17" w:rsidRDefault="00DD1D17">
    <w:pPr>
      <w:tabs>
        <w:tab w:val="center" w:pos="4320"/>
        <w:tab w:val="right" w:pos="8640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1278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B4C0" w14:textId="77777777" w:rsidR="00DD1D17" w:rsidRDefault="00DD1D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46D8B" w14:textId="77777777" w:rsidR="004E262E" w:rsidRDefault="004E262E">
      <w:pPr>
        <w:spacing w:after="0" w:line="240" w:lineRule="auto"/>
      </w:pPr>
      <w:r>
        <w:separator/>
      </w:r>
    </w:p>
  </w:footnote>
  <w:footnote w:type="continuationSeparator" w:id="0">
    <w:p w14:paraId="4B436853" w14:textId="77777777" w:rsidR="004E262E" w:rsidRDefault="004E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4506" w14:textId="77777777" w:rsidR="00DD1D17" w:rsidRDefault="00DD1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5766C" w14:textId="77777777" w:rsidR="00DD1D17" w:rsidRDefault="00DD1D17">
    <w:pPr>
      <w:tabs>
        <w:tab w:val="center" w:pos="4320"/>
        <w:tab w:val="right" w:pos="8640"/>
      </w:tabs>
      <w:spacing w:before="708" w:after="0" w:line="240" w:lineRule="auto"/>
    </w:pP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4B431" w14:textId="77777777" w:rsidR="00DD1D17" w:rsidRDefault="00DD1D17">
    <w:pPr>
      <w:spacing w:after="0" w:line="240" w:lineRule="auto"/>
      <w:rPr>
        <w:b/>
        <w:sz w:val="48"/>
        <w:szCs w:val="48"/>
      </w:rPr>
    </w:pPr>
    <w:bookmarkStart w:id="1" w:name="_iz72c4vlhgy" w:colFirst="0" w:colLast="0"/>
    <w:bookmarkEnd w:id="1"/>
  </w:p>
  <w:p w14:paraId="49B19591" w14:textId="77777777" w:rsidR="00DD1D17" w:rsidRDefault="00DD1D17">
    <w:pPr>
      <w:spacing w:after="0" w:line="240" w:lineRule="auto"/>
    </w:pPr>
    <w:bookmarkStart w:id="2" w:name="_wibvhset1m23" w:colFirst="0" w:colLast="0"/>
    <w:bookmarkEnd w:id="2"/>
    <w:r>
      <w:rPr>
        <w:b/>
        <w:noProof/>
        <w:sz w:val="48"/>
        <w:szCs w:val="48"/>
        <w:lang w:val="en-US"/>
      </w:rPr>
      <w:drawing>
        <wp:inline distT="114300" distB="114300" distL="114300" distR="114300" wp14:anchorId="23DDF96E" wp14:editId="15B6BDD7">
          <wp:extent cx="5731200" cy="9779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42C1"/>
    <w:multiLevelType w:val="multilevel"/>
    <w:tmpl w:val="8D9051B6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C91AFE"/>
    <w:multiLevelType w:val="multilevel"/>
    <w:tmpl w:val="4EBE29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419C3BC5"/>
    <w:multiLevelType w:val="multilevel"/>
    <w:tmpl w:val="8AFC5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7360A2"/>
    <w:multiLevelType w:val="multilevel"/>
    <w:tmpl w:val="C7164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7228CC"/>
    <w:multiLevelType w:val="multilevel"/>
    <w:tmpl w:val="A0849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E922EB"/>
    <w:multiLevelType w:val="multilevel"/>
    <w:tmpl w:val="7ACEAA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752655"/>
    <w:multiLevelType w:val="multilevel"/>
    <w:tmpl w:val="A75C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802B09"/>
    <w:multiLevelType w:val="multilevel"/>
    <w:tmpl w:val="CE20367A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NjE1MTc3MTM1N7JQ0lEKTi0uzszPAykwrQUA6TENLiwAAAA="/>
  </w:docVars>
  <w:rsids>
    <w:rsidRoot w:val="002F374B"/>
    <w:rsid w:val="00003BF7"/>
    <w:rsid w:val="00013B5A"/>
    <w:rsid w:val="00036F65"/>
    <w:rsid w:val="0005191C"/>
    <w:rsid w:val="00092D0F"/>
    <w:rsid w:val="000D7E34"/>
    <w:rsid w:val="0011382F"/>
    <w:rsid w:val="00117A3A"/>
    <w:rsid w:val="00133911"/>
    <w:rsid w:val="00197B3B"/>
    <w:rsid w:val="001D5EE2"/>
    <w:rsid w:val="00285312"/>
    <w:rsid w:val="002B6FD4"/>
    <w:rsid w:val="002E009F"/>
    <w:rsid w:val="002E634C"/>
    <w:rsid w:val="002E6717"/>
    <w:rsid w:val="002F374B"/>
    <w:rsid w:val="002F7BE2"/>
    <w:rsid w:val="00386290"/>
    <w:rsid w:val="003952FE"/>
    <w:rsid w:val="003D41BD"/>
    <w:rsid w:val="003E7B35"/>
    <w:rsid w:val="003F0992"/>
    <w:rsid w:val="0040520D"/>
    <w:rsid w:val="00412781"/>
    <w:rsid w:val="00443838"/>
    <w:rsid w:val="00447D14"/>
    <w:rsid w:val="00453B14"/>
    <w:rsid w:val="00470C81"/>
    <w:rsid w:val="004B77C9"/>
    <w:rsid w:val="004E0580"/>
    <w:rsid w:val="004E262E"/>
    <w:rsid w:val="005461C5"/>
    <w:rsid w:val="0054738F"/>
    <w:rsid w:val="005548F2"/>
    <w:rsid w:val="005C640B"/>
    <w:rsid w:val="005D59B5"/>
    <w:rsid w:val="005E6D61"/>
    <w:rsid w:val="005E7F7F"/>
    <w:rsid w:val="005F78A2"/>
    <w:rsid w:val="006079EE"/>
    <w:rsid w:val="0067392C"/>
    <w:rsid w:val="006765B5"/>
    <w:rsid w:val="00682D5D"/>
    <w:rsid w:val="0070245A"/>
    <w:rsid w:val="00707228"/>
    <w:rsid w:val="007525ED"/>
    <w:rsid w:val="0077119C"/>
    <w:rsid w:val="0079095A"/>
    <w:rsid w:val="007A4412"/>
    <w:rsid w:val="007F3CFB"/>
    <w:rsid w:val="0089796E"/>
    <w:rsid w:val="008E6330"/>
    <w:rsid w:val="00911332"/>
    <w:rsid w:val="009464D7"/>
    <w:rsid w:val="00952B32"/>
    <w:rsid w:val="00A328FA"/>
    <w:rsid w:val="00A36DF3"/>
    <w:rsid w:val="00A83D65"/>
    <w:rsid w:val="00A91F6E"/>
    <w:rsid w:val="00AA0B16"/>
    <w:rsid w:val="00AB43A2"/>
    <w:rsid w:val="00AF0C38"/>
    <w:rsid w:val="00B13DE1"/>
    <w:rsid w:val="00B13F0C"/>
    <w:rsid w:val="00B5759E"/>
    <w:rsid w:val="00B65DF3"/>
    <w:rsid w:val="00BA4499"/>
    <w:rsid w:val="00C84165"/>
    <w:rsid w:val="00C87736"/>
    <w:rsid w:val="00CA4F95"/>
    <w:rsid w:val="00D27D7E"/>
    <w:rsid w:val="00D91C4E"/>
    <w:rsid w:val="00DB287B"/>
    <w:rsid w:val="00DD1D17"/>
    <w:rsid w:val="00DE3DC4"/>
    <w:rsid w:val="00E405FF"/>
    <w:rsid w:val="00E66B61"/>
    <w:rsid w:val="00E75F40"/>
    <w:rsid w:val="00EB007E"/>
    <w:rsid w:val="00EC249A"/>
    <w:rsid w:val="00F20FF8"/>
    <w:rsid w:val="00F21FCF"/>
    <w:rsid w:val="00F3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A9AC4"/>
  <w15:docId w15:val="{A97D3362-A041-4D94-9039-1FB7A4C6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DF3"/>
  </w:style>
  <w:style w:type="paragraph" w:styleId="Footer">
    <w:name w:val="footer"/>
    <w:basedOn w:val="Normal"/>
    <w:link w:val="FooterChar"/>
    <w:uiPriority w:val="99"/>
    <w:unhideWhenUsed/>
    <w:rsid w:val="00B6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F3"/>
  </w:style>
  <w:style w:type="paragraph" w:styleId="BalloonText">
    <w:name w:val="Balloon Text"/>
    <w:basedOn w:val="Normal"/>
    <w:link w:val="BalloonTextChar"/>
    <w:uiPriority w:val="99"/>
    <w:semiHidden/>
    <w:unhideWhenUsed/>
    <w:rsid w:val="00B65D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F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63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34C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F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5F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6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id.gov/who-we-are/organization/bureaus/bureau-economic-growth-education-and-environment/office-forestry-and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pdf.usaid.gov/pdf_docs/pa00sts9.pdf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hill@usaid.gov" TargetMode="External"/><Relationship Id="rId12" Type="http://schemas.openxmlformats.org/officeDocument/2006/relationships/hyperlink" Target="https://usaidlearninglab.org/lab-notes/watch-biodiversity-cross-mission-learning-program" TargetMode="External"/><Relationship Id="rId17" Type="http://schemas.openxmlformats.org/officeDocument/2006/relationships/hyperlink" Target="http://pdf.usaid.gov/pdf_docs/pa00sts9.pd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i25GTaEA80HwMvsTiYkdOoXRPWiVPZ5l6KioWx9g2zM/edit" TargetMode="External"/><Relationship Id="rId20" Type="http://schemas.openxmlformats.org/officeDocument/2006/relationships/hyperlink" Target="http://pdf.usaid.gov/pdf_docs/pa00n41k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mportal.net/conservation-enterprises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mportal.net/combating-wildlife-traffickin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rmportal.net/conservation-enterprises" TargetMode="External"/><Relationship Id="rId19" Type="http://schemas.openxmlformats.org/officeDocument/2006/relationships/hyperlink" Target="http://pdf.usaid.gov/pdf_docs/pbaaf6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portal.net/biodiversityconservation-gateway/resources/projects/measuring-impact" TargetMode="External"/><Relationship Id="rId14" Type="http://schemas.openxmlformats.org/officeDocument/2006/relationships/hyperlink" Target="https://rmportal.net/conservation-enterprises/learning-agenda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boshoven</dc:creator>
  <cp:lastModifiedBy>judy boshoven</cp:lastModifiedBy>
  <cp:revision>3</cp:revision>
  <dcterms:created xsi:type="dcterms:W3CDTF">2018-03-12T16:40:00Z</dcterms:created>
  <dcterms:modified xsi:type="dcterms:W3CDTF">2018-03-12T16:41:00Z</dcterms:modified>
</cp:coreProperties>
</file>